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40EDC" w14:textId="77777777" w:rsidR="007319A1" w:rsidRPr="00805590" w:rsidRDefault="007319A1" w:rsidP="00805590">
      <w:pPr>
        <w:rPr>
          <w:sz w:val="8"/>
          <w:szCs w:val="8"/>
        </w:rPr>
      </w:pPr>
    </w:p>
    <w:p w14:paraId="59A16719" w14:textId="788FEF45" w:rsidR="005333B7" w:rsidRPr="0024433C" w:rsidRDefault="005333B7" w:rsidP="005333B7">
      <w:pPr>
        <w:jc w:val="center"/>
        <w:rPr>
          <w:rFonts w:asciiTheme="majorHAnsi" w:hAnsiTheme="majorHAnsi" w:cs="Times New Roman (Body CS)"/>
          <w:smallCaps/>
        </w:rPr>
      </w:pPr>
      <w:r w:rsidRPr="0024433C">
        <w:rPr>
          <w:rFonts w:asciiTheme="majorHAnsi" w:hAnsiTheme="majorHAnsi"/>
        </w:rPr>
        <w:t xml:space="preserve">Created by Linda Brault and Kai Kaiser, </w:t>
      </w:r>
      <w:r w:rsidRPr="0024433C">
        <w:rPr>
          <w:rFonts w:asciiTheme="majorHAnsi" w:hAnsiTheme="majorHAnsi" w:cs="Times New Roman (Body CS)"/>
          <w:smallCaps/>
        </w:rPr>
        <w:t>Beginning Together</w:t>
      </w:r>
    </w:p>
    <w:p w14:paraId="44DB15E3" w14:textId="77777777" w:rsidR="005333B7" w:rsidRPr="005333B7" w:rsidRDefault="005333B7" w:rsidP="004D75C9">
      <w:pPr>
        <w:rPr>
          <w:rFonts w:asciiTheme="majorHAnsi" w:hAnsiTheme="majorHAnsi"/>
          <w:sz w:val="10"/>
          <w:szCs w:val="10"/>
        </w:rPr>
      </w:pPr>
    </w:p>
    <w:p w14:paraId="7F78B1E2" w14:textId="04E82A0A" w:rsidR="004D75C9" w:rsidRPr="0024433C" w:rsidRDefault="004D75C9" w:rsidP="004D75C9">
      <w:pPr>
        <w:rPr>
          <w:rFonts w:asciiTheme="majorHAnsi" w:hAnsiTheme="majorHAnsi"/>
        </w:rPr>
      </w:pPr>
      <w:r w:rsidRPr="0024433C">
        <w:rPr>
          <w:rFonts w:asciiTheme="majorHAnsi" w:hAnsiTheme="majorHAnsi"/>
        </w:rPr>
        <w:t xml:space="preserve">Use this checklist to assess your program’s inclusive practices for </w:t>
      </w:r>
      <w:r w:rsidR="005333B7" w:rsidRPr="0024433C">
        <w:rPr>
          <w:rFonts w:asciiTheme="majorHAnsi" w:hAnsiTheme="majorHAnsi"/>
        </w:rPr>
        <w:t>young children</w:t>
      </w:r>
      <w:r w:rsidRPr="0024433C">
        <w:rPr>
          <w:rFonts w:asciiTheme="majorHAnsi" w:hAnsiTheme="majorHAnsi"/>
        </w:rPr>
        <w:t xml:space="preserve">. These indicators will help you think about and plan for ways to promote authentic belonging in your setting. Think about </w:t>
      </w:r>
      <w:r w:rsidR="005333B7" w:rsidRPr="0024433C">
        <w:rPr>
          <w:rFonts w:asciiTheme="majorHAnsi" w:hAnsiTheme="majorHAnsi"/>
        </w:rPr>
        <w:t xml:space="preserve">or discuss with </w:t>
      </w:r>
      <w:r w:rsidRPr="0024433C">
        <w:rPr>
          <w:rFonts w:asciiTheme="majorHAnsi" w:hAnsiTheme="majorHAnsi"/>
        </w:rPr>
        <w:t>your teaching team as you consider each step.</w:t>
      </w:r>
    </w:p>
    <w:p w14:paraId="1A345DCE" w14:textId="77777777" w:rsidR="004D75C9" w:rsidRPr="005333B7" w:rsidRDefault="004D75C9" w:rsidP="0010588E">
      <w:pPr>
        <w:ind w:left="-450"/>
        <w:rPr>
          <w:sz w:val="8"/>
          <w:szCs w:val="8"/>
        </w:rPr>
      </w:pPr>
    </w:p>
    <w:tbl>
      <w:tblPr>
        <w:tblStyle w:val="TableGrid"/>
        <w:tblW w:w="10224" w:type="dxa"/>
        <w:tblInd w:w="-342" w:type="dxa"/>
        <w:tblLook w:val="04A0" w:firstRow="1" w:lastRow="0" w:firstColumn="1" w:lastColumn="0" w:noHBand="0" w:noVBand="1"/>
      </w:tblPr>
      <w:tblGrid>
        <w:gridCol w:w="4878"/>
        <w:gridCol w:w="1260"/>
        <w:gridCol w:w="4086"/>
      </w:tblGrid>
      <w:tr w:rsidR="0010588E" w:rsidRPr="00452A40" w14:paraId="286760F5" w14:textId="77777777" w:rsidTr="00CF3EBC">
        <w:tc>
          <w:tcPr>
            <w:tcW w:w="4878" w:type="dxa"/>
            <w:tcBorders>
              <w:bottom w:val="single" w:sz="4" w:space="0" w:color="auto"/>
            </w:tcBorders>
          </w:tcPr>
          <w:p w14:paraId="29BACC90" w14:textId="77777777" w:rsidR="007319A1" w:rsidRPr="00452A40" w:rsidRDefault="007319A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E468474" w14:textId="77777777" w:rsidR="007319A1" w:rsidRPr="00452A40" w:rsidRDefault="007319A1">
            <w:pPr>
              <w:rPr>
                <w:rFonts w:asciiTheme="majorHAnsi" w:hAnsiTheme="majorHAnsi"/>
              </w:rPr>
            </w:pPr>
            <w:r w:rsidRPr="00452A40">
              <w:rPr>
                <w:rFonts w:asciiTheme="majorHAnsi" w:hAnsiTheme="majorHAnsi"/>
              </w:rPr>
              <w:t>Yes or No?</w:t>
            </w:r>
          </w:p>
        </w:tc>
        <w:tc>
          <w:tcPr>
            <w:tcW w:w="4086" w:type="dxa"/>
            <w:tcBorders>
              <w:bottom w:val="single" w:sz="4" w:space="0" w:color="auto"/>
            </w:tcBorders>
          </w:tcPr>
          <w:p w14:paraId="725455AA" w14:textId="77777777" w:rsidR="007319A1" w:rsidRPr="00452A40" w:rsidRDefault="007319A1" w:rsidP="003475ED">
            <w:pPr>
              <w:ind w:left="126" w:right="522" w:hanging="126"/>
              <w:rPr>
                <w:rFonts w:asciiTheme="majorHAnsi" w:hAnsiTheme="majorHAnsi"/>
              </w:rPr>
            </w:pPr>
            <w:r w:rsidRPr="00452A40">
              <w:rPr>
                <w:rFonts w:asciiTheme="majorHAnsi" w:hAnsiTheme="majorHAnsi"/>
              </w:rPr>
              <w:t>Next Steps:</w:t>
            </w:r>
          </w:p>
        </w:tc>
      </w:tr>
      <w:tr w:rsidR="00CF3EBC" w:rsidRPr="00CF3EBC" w14:paraId="7EB08D24" w14:textId="77777777" w:rsidTr="00CF3EBC">
        <w:tc>
          <w:tcPr>
            <w:tcW w:w="10224" w:type="dxa"/>
            <w:gridSpan w:val="3"/>
            <w:shd w:val="clear" w:color="auto" w:fill="7030A0"/>
          </w:tcPr>
          <w:p w14:paraId="20FF56C5" w14:textId="77777777" w:rsidR="00106A55" w:rsidRPr="00CF3EBC" w:rsidRDefault="00106A55" w:rsidP="00CF3EBC">
            <w:pPr>
              <w:spacing w:before="60" w:after="60"/>
              <w:ind w:left="720"/>
              <w:rPr>
                <w:rFonts w:asciiTheme="majorHAnsi" w:hAnsiTheme="majorHAnsi"/>
                <w:color w:val="FFFFFF" w:themeColor="background1"/>
                <w:sz w:val="28"/>
              </w:rPr>
            </w:pPr>
            <w:r w:rsidRPr="00CF3EBC">
              <w:rPr>
                <w:rFonts w:asciiTheme="majorHAnsi" w:hAnsiTheme="majorHAnsi"/>
                <w:b/>
                <w:color w:val="FFFFFF" w:themeColor="background1"/>
                <w:sz w:val="28"/>
              </w:rPr>
              <w:t>Access:</w:t>
            </w:r>
          </w:p>
        </w:tc>
      </w:tr>
      <w:tr w:rsidR="0010588E" w:rsidRPr="00452A40" w14:paraId="0EC9836D" w14:textId="77777777" w:rsidTr="00A343B1">
        <w:tc>
          <w:tcPr>
            <w:tcW w:w="4878" w:type="dxa"/>
          </w:tcPr>
          <w:p w14:paraId="5623AC84" w14:textId="0D46E579" w:rsidR="007319A1" w:rsidRPr="00EC0131" w:rsidRDefault="004D75C9" w:rsidP="00CF3EBC">
            <w:pPr>
              <w:spacing w:before="60" w:after="60"/>
              <w:rPr>
                <w:rFonts w:asciiTheme="majorHAnsi" w:hAnsiTheme="majorHAnsi"/>
                <w:sz w:val="22"/>
              </w:rPr>
            </w:pPr>
            <w:r w:rsidRPr="00EC0131">
              <w:rPr>
                <w:rFonts w:asciiTheme="majorHAnsi" w:hAnsiTheme="majorHAnsi"/>
                <w:sz w:val="22"/>
              </w:rPr>
              <w:t>We</w:t>
            </w:r>
            <w:r w:rsidR="000933F0" w:rsidRPr="00EC0131">
              <w:rPr>
                <w:rFonts w:asciiTheme="majorHAnsi" w:hAnsiTheme="majorHAnsi"/>
                <w:sz w:val="22"/>
              </w:rPr>
              <w:t xml:space="preserve"> believe that all children can learn,</w:t>
            </w:r>
            <w:r w:rsidR="0065076D" w:rsidRPr="00EC0131">
              <w:rPr>
                <w:rFonts w:asciiTheme="majorHAnsi" w:hAnsiTheme="majorHAnsi"/>
                <w:sz w:val="22"/>
              </w:rPr>
              <w:t xml:space="preserve"> and </w:t>
            </w:r>
            <w:r w:rsidRPr="00EC0131">
              <w:rPr>
                <w:rFonts w:asciiTheme="majorHAnsi" w:hAnsiTheme="majorHAnsi"/>
                <w:sz w:val="22"/>
              </w:rPr>
              <w:t xml:space="preserve">we </w:t>
            </w:r>
            <w:r w:rsidR="0065076D" w:rsidRPr="00EC0131">
              <w:rPr>
                <w:rFonts w:asciiTheme="majorHAnsi" w:hAnsiTheme="majorHAnsi"/>
                <w:sz w:val="22"/>
              </w:rPr>
              <w:t>have high expectations for every child to maximize his/her potential.</w:t>
            </w:r>
          </w:p>
        </w:tc>
        <w:tc>
          <w:tcPr>
            <w:tcW w:w="1260" w:type="dxa"/>
            <w:vAlign w:val="center"/>
          </w:tcPr>
          <w:p w14:paraId="319E2955" w14:textId="2274900E" w:rsidR="007319A1" w:rsidRPr="00452A40" w:rsidRDefault="00A343B1" w:rsidP="00A343B1">
            <w:pPr>
              <w:spacing w:before="60" w:after="6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1F0F29">
              <w:rPr>
                <w:rFonts w:asciiTheme="majorHAnsi" w:hAnsiTheme="majorHAnsi"/>
                <w:noProof/>
              </w:rPr>
              <w:t> </w:t>
            </w:r>
            <w:r w:rsidR="001F0F29">
              <w:rPr>
                <w:rFonts w:asciiTheme="majorHAnsi" w:hAnsiTheme="majorHAnsi"/>
                <w:noProof/>
              </w:rPr>
              <w:t> </w:t>
            </w:r>
            <w:r w:rsidR="001F0F29">
              <w:rPr>
                <w:rFonts w:asciiTheme="majorHAnsi" w:hAnsiTheme="majorHAnsi"/>
                <w:noProof/>
              </w:rPr>
              <w:t> </w:t>
            </w:r>
            <w:r w:rsidR="001F0F29">
              <w:rPr>
                <w:rFonts w:asciiTheme="majorHAnsi" w:hAnsiTheme="majorHAnsi"/>
                <w:noProof/>
              </w:rPr>
              <w:t> </w:t>
            </w:r>
            <w:r w:rsidR="001F0F29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0"/>
          </w:p>
        </w:tc>
        <w:tc>
          <w:tcPr>
            <w:tcW w:w="4086" w:type="dxa"/>
          </w:tcPr>
          <w:p w14:paraId="1BA47281" w14:textId="5B080C02" w:rsidR="007319A1" w:rsidRPr="00452A40" w:rsidRDefault="00A343B1" w:rsidP="00CF3EBC">
            <w:pPr>
              <w:spacing w:before="60"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1F0F29">
              <w:rPr>
                <w:rFonts w:asciiTheme="majorHAnsi" w:hAnsiTheme="majorHAnsi"/>
                <w:noProof/>
              </w:rPr>
              <w:t> </w:t>
            </w:r>
            <w:r w:rsidR="001F0F29">
              <w:rPr>
                <w:rFonts w:asciiTheme="majorHAnsi" w:hAnsiTheme="majorHAnsi"/>
                <w:noProof/>
              </w:rPr>
              <w:t> </w:t>
            </w:r>
            <w:r w:rsidR="001F0F29">
              <w:rPr>
                <w:rFonts w:asciiTheme="majorHAnsi" w:hAnsiTheme="majorHAnsi"/>
                <w:noProof/>
              </w:rPr>
              <w:t> </w:t>
            </w:r>
            <w:r w:rsidR="001F0F29">
              <w:rPr>
                <w:rFonts w:asciiTheme="majorHAnsi" w:hAnsiTheme="majorHAnsi"/>
                <w:noProof/>
              </w:rPr>
              <w:t> </w:t>
            </w:r>
            <w:r w:rsidR="001F0F29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"/>
          </w:p>
        </w:tc>
      </w:tr>
      <w:tr w:rsidR="00A343B1" w:rsidRPr="00452A40" w14:paraId="456B78DB" w14:textId="77777777" w:rsidTr="00A343B1">
        <w:tc>
          <w:tcPr>
            <w:tcW w:w="4878" w:type="dxa"/>
          </w:tcPr>
          <w:p w14:paraId="63C3A7CA" w14:textId="29AF0AB8" w:rsidR="00A343B1" w:rsidRPr="00EC0131" w:rsidRDefault="00A343B1" w:rsidP="00A343B1">
            <w:pPr>
              <w:spacing w:before="60" w:after="60"/>
              <w:rPr>
                <w:rFonts w:asciiTheme="majorHAnsi" w:hAnsiTheme="majorHAnsi"/>
                <w:sz w:val="22"/>
              </w:rPr>
            </w:pPr>
            <w:r w:rsidRPr="00EC0131">
              <w:rPr>
                <w:rFonts w:asciiTheme="majorHAnsi" w:hAnsiTheme="majorHAnsi"/>
                <w:sz w:val="22"/>
              </w:rPr>
              <w:t>We demonstrate respect for all children through words and actions (use people-first language, individualized care routines, etc.).</w:t>
            </w:r>
          </w:p>
        </w:tc>
        <w:tc>
          <w:tcPr>
            <w:tcW w:w="1260" w:type="dxa"/>
            <w:vAlign w:val="center"/>
          </w:tcPr>
          <w:p w14:paraId="6408DD40" w14:textId="1E88C492" w:rsidR="00A343B1" w:rsidRPr="00452A40" w:rsidRDefault="00A343B1" w:rsidP="00A343B1">
            <w:pPr>
              <w:spacing w:before="60" w:after="6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1F0F29">
              <w:rPr>
                <w:rFonts w:asciiTheme="majorHAnsi" w:hAnsiTheme="majorHAnsi"/>
                <w:noProof/>
              </w:rPr>
              <w:t> </w:t>
            </w:r>
            <w:r w:rsidR="001F0F29">
              <w:rPr>
                <w:rFonts w:asciiTheme="majorHAnsi" w:hAnsiTheme="majorHAnsi"/>
                <w:noProof/>
              </w:rPr>
              <w:t> </w:t>
            </w:r>
            <w:r w:rsidR="001F0F29">
              <w:rPr>
                <w:rFonts w:asciiTheme="majorHAnsi" w:hAnsiTheme="majorHAnsi"/>
                <w:noProof/>
              </w:rPr>
              <w:t> </w:t>
            </w:r>
            <w:r w:rsidR="001F0F29">
              <w:rPr>
                <w:rFonts w:asciiTheme="majorHAnsi" w:hAnsiTheme="majorHAnsi"/>
                <w:noProof/>
              </w:rPr>
              <w:t> </w:t>
            </w:r>
            <w:r w:rsidR="001F0F29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086" w:type="dxa"/>
          </w:tcPr>
          <w:p w14:paraId="431CDD88" w14:textId="489B6C28" w:rsidR="00A343B1" w:rsidRPr="00452A40" w:rsidRDefault="00A343B1" w:rsidP="00A343B1">
            <w:pPr>
              <w:spacing w:before="60"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1F0F29">
              <w:rPr>
                <w:rFonts w:asciiTheme="majorHAnsi" w:hAnsiTheme="majorHAnsi"/>
                <w:noProof/>
              </w:rPr>
              <w:t> </w:t>
            </w:r>
            <w:r w:rsidR="001F0F29">
              <w:rPr>
                <w:rFonts w:asciiTheme="majorHAnsi" w:hAnsiTheme="majorHAnsi"/>
                <w:noProof/>
              </w:rPr>
              <w:t> </w:t>
            </w:r>
            <w:r w:rsidR="001F0F29">
              <w:rPr>
                <w:rFonts w:asciiTheme="majorHAnsi" w:hAnsiTheme="majorHAnsi"/>
                <w:noProof/>
              </w:rPr>
              <w:t> </w:t>
            </w:r>
            <w:r w:rsidR="001F0F29">
              <w:rPr>
                <w:rFonts w:asciiTheme="majorHAnsi" w:hAnsiTheme="majorHAnsi"/>
                <w:noProof/>
              </w:rPr>
              <w:t> </w:t>
            </w:r>
            <w:r w:rsidR="001F0F29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A343B1" w:rsidRPr="00452A40" w14:paraId="2F30BF0C" w14:textId="77777777" w:rsidTr="00A343B1">
        <w:tc>
          <w:tcPr>
            <w:tcW w:w="4878" w:type="dxa"/>
          </w:tcPr>
          <w:p w14:paraId="47084A37" w14:textId="61B53801" w:rsidR="00A343B1" w:rsidRPr="00EC0131" w:rsidRDefault="00A343B1" w:rsidP="00A343B1">
            <w:pPr>
              <w:spacing w:before="60" w:after="60"/>
              <w:rPr>
                <w:rFonts w:asciiTheme="majorHAnsi" w:hAnsiTheme="majorHAnsi"/>
                <w:sz w:val="22"/>
              </w:rPr>
            </w:pPr>
            <w:r w:rsidRPr="00EC0131">
              <w:rPr>
                <w:rFonts w:asciiTheme="majorHAnsi" w:hAnsiTheme="majorHAnsi"/>
                <w:sz w:val="22"/>
              </w:rPr>
              <w:t>We design the environment to encourage children’s exploration and autonomy, including the use of supportive positioning and/or adaptive equipment, as needed.</w:t>
            </w:r>
          </w:p>
        </w:tc>
        <w:tc>
          <w:tcPr>
            <w:tcW w:w="1260" w:type="dxa"/>
            <w:vAlign w:val="center"/>
          </w:tcPr>
          <w:p w14:paraId="241405F6" w14:textId="12AD47D7" w:rsidR="00A343B1" w:rsidRPr="00452A40" w:rsidRDefault="00A343B1" w:rsidP="00A343B1">
            <w:pPr>
              <w:spacing w:before="60" w:after="6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1F0F29">
              <w:rPr>
                <w:rFonts w:asciiTheme="majorHAnsi" w:hAnsiTheme="majorHAnsi"/>
                <w:noProof/>
              </w:rPr>
              <w:t> </w:t>
            </w:r>
            <w:r w:rsidR="001F0F29">
              <w:rPr>
                <w:rFonts w:asciiTheme="majorHAnsi" w:hAnsiTheme="majorHAnsi"/>
                <w:noProof/>
              </w:rPr>
              <w:t> </w:t>
            </w:r>
            <w:r w:rsidR="001F0F29">
              <w:rPr>
                <w:rFonts w:asciiTheme="majorHAnsi" w:hAnsiTheme="majorHAnsi"/>
                <w:noProof/>
              </w:rPr>
              <w:t> </w:t>
            </w:r>
            <w:r w:rsidR="001F0F29">
              <w:rPr>
                <w:rFonts w:asciiTheme="majorHAnsi" w:hAnsiTheme="majorHAnsi"/>
                <w:noProof/>
              </w:rPr>
              <w:t> </w:t>
            </w:r>
            <w:r w:rsidR="001F0F29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086" w:type="dxa"/>
          </w:tcPr>
          <w:p w14:paraId="2F356A03" w14:textId="3812E9AD" w:rsidR="00A343B1" w:rsidRPr="00452A40" w:rsidRDefault="00A343B1" w:rsidP="00A343B1">
            <w:pPr>
              <w:spacing w:before="60"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1F0F29">
              <w:rPr>
                <w:rFonts w:asciiTheme="majorHAnsi" w:hAnsiTheme="majorHAnsi"/>
                <w:noProof/>
              </w:rPr>
              <w:t> </w:t>
            </w:r>
            <w:r w:rsidR="001F0F29">
              <w:rPr>
                <w:rFonts w:asciiTheme="majorHAnsi" w:hAnsiTheme="majorHAnsi"/>
                <w:noProof/>
              </w:rPr>
              <w:t> </w:t>
            </w:r>
            <w:r w:rsidR="001F0F29">
              <w:rPr>
                <w:rFonts w:asciiTheme="majorHAnsi" w:hAnsiTheme="majorHAnsi"/>
                <w:noProof/>
              </w:rPr>
              <w:t> </w:t>
            </w:r>
            <w:r w:rsidR="001F0F29">
              <w:rPr>
                <w:rFonts w:asciiTheme="majorHAnsi" w:hAnsiTheme="majorHAnsi"/>
                <w:noProof/>
              </w:rPr>
              <w:t> </w:t>
            </w:r>
            <w:r w:rsidR="001F0F29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A343B1" w:rsidRPr="00452A40" w14:paraId="71FF86A5" w14:textId="77777777" w:rsidTr="00A343B1">
        <w:tc>
          <w:tcPr>
            <w:tcW w:w="4878" w:type="dxa"/>
            <w:tcBorders>
              <w:bottom w:val="single" w:sz="4" w:space="0" w:color="auto"/>
            </w:tcBorders>
          </w:tcPr>
          <w:p w14:paraId="7C1DED8C" w14:textId="2B931955" w:rsidR="00A343B1" w:rsidRPr="00EC0131" w:rsidRDefault="00A343B1" w:rsidP="00A343B1">
            <w:pPr>
              <w:spacing w:before="60" w:after="60"/>
              <w:rPr>
                <w:rFonts w:asciiTheme="majorHAnsi" w:hAnsiTheme="majorHAnsi"/>
                <w:sz w:val="22"/>
              </w:rPr>
            </w:pPr>
            <w:r w:rsidRPr="00EC0131">
              <w:rPr>
                <w:rFonts w:asciiTheme="majorHAnsi" w:hAnsiTheme="majorHAnsi"/>
                <w:sz w:val="22"/>
              </w:rPr>
              <w:t>We incorporate Universal Design for Learning (UDL) principles and practices into daily routines and experiences.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32F0AEC" w14:textId="0F287D79" w:rsidR="00A343B1" w:rsidRPr="00452A40" w:rsidRDefault="00A343B1" w:rsidP="00A343B1">
            <w:pPr>
              <w:spacing w:before="60" w:after="6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1F0F29">
              <w:rPr>
                <w:rFonts w:asciiTheme="majorHAnsi" w:hAnsiTheme="majorHAnsi"/>
                <w:noProof/>
              </w:rPr>
              <w:t> </w:t>
            </w:r>
            <w:r w:rsidR="001F0F29">
              <w:rPr>
                <w:rFonts w:asciiTheme="majorHAnsi" w:hAnsiTheme="majorHAnsi"/>
                <w:noProof/>
              </w:rPr>
              <w:t> </w:t>
            </w:r>
            <w:r w:rsidR="001F0F29">
              <w:rPr>
                <w:rFonts w:asciiTheme="majorHAnsi" w:hAnsiTheme="majorHAnsi"/>
                <w:noProof/>
              </w:rPr>
              <w:t> </w:t>
            </w:r>
            <w:r w:rsidR="001F0F29">
              <w:rPr>
                <w:rFonts w:asciiTheme="majorHAnsi" w:hAnsiTheme="majorHAnsi"/>
                <w:noProof/>
              </w:rPr>
              <w:t> </w:t>
            </w:r>
            <w:r w:rsidR="001F0F29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086" w:type="dxa"/>
            <w:tcBorders>
              <w:bottom w:val="single" w:sz="4" w:space="0" w:color="auto"/>
            </w:tcBorders>
          </w:tcPr>
          <w:p w14:paraId="5EC2CB56" w14:textId="1786340D" w:rsidR="00A343B1" w:rsidRPr="00452A40" w:rsidRDefault="00A343B1" w:rsidP="00A343B1">
            <w:pPr>
              <w:spacing w:before="60"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1F0F29">
              <w:rPr>
                <w:rFonts w:asciiTheme="majorHAnsi" w:hAnsiTheme="majorHAnsi"/>
                <w:noProof/>
              </w:rPr>
              <w:t> </w:t>
            </w:r>
            <w:r w:rsidR="001F0F29">
              <w:rPr>
                <w:rFonts w:asciiTheme="majorHAnsi" w:hAnsiTheme="majorHAnsi"/>
                <w:noProof/>
              </w:rPr>
              <w:t> </w:t>
            </w:r>
            <w:r w:rsidR="001F0F29">
              <w:rPr>
                <w:rFonts w:asciiTheme="majorHAnsi" w:hAnsiTheme="majorHAnsi"/>
                <w:noProof/>
              </w:rPr>
              <w:t> </w:t>
            </w:r>
            <w:r w:rsidR="001F0F29">
              <w:rPr>
                <w:rFonts w:asciiTheme="majorHAnsi" w:hAnsiTheme="majorHAnsi"/>
                <w:noProof/>
              </w:rPr>
              <w:t> </w:t>
            </w:r>
            <w:r w:rsidR="001F0F29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A343B1" w:rsidRPr="00452A40" w14:paraId="2F7BCD06" w14:textId="77777777" w:rsidTr="00CF3EBC">
        <w:tc>
          <w:tcPr>
            <w:tcW w:w="10224" w:type="dxa"/>
            <w:gridSpan w:val="3"/>
            <w:shd w:val="clear" w:color="auto" w:fill="7030A0"/>
          </w:tcPr>
          <w:p w14:paraId="72DD5110" w14:textId="77777777" w:rsidR="00A343B1" w:rsidRPr="00452A40" w:rsidRDefault="00A343B1" w:rsidP="00A343B1">
            <w:pPr>
              <w:spacing w:before="60" w:after="60"/>
              <w:ind w:left="720"/>
              <w:rPr>
                <w:rFonts w:asciiTheme="majorHAnsi" w:hAnsiTheme="majorHAnsi"/>
              </w:rPr>
            </w:pPr>
            <w:r w:rsidRPr="00CF3EBC">
              <w:rPr>
                <w:rFonts w:asciiTheme="majorHAnsi" w:hAnsiTheme="majorHAnsi"/>
                <w:b/>
                <w:color w:val="FFFFFF" w:themeColor="background1"/>
              </w:rPr>
              <w:t>Participation:</w:t>
            </w:r>
          </w:p>
        </w:tc>
      </w:tr>
      <w:tr w:rsidR="00A343B1" w:rsidRPr="00452A40" w14:paraId="69DB33A5" w14:textId="77777777" w:rsidTr="00A343B1">
        <w:tc>
          <w:tcPr>
            <w:tcW w:w="4878" w:type="dxa"/>
          </w:tcPr>
          <w:p w14:paraId="3B751C8C" w14:textId="35751FDF" w:rsidR="00A343B1" w:rsidRPr="00EC0131" w:rsidRDefault="00A343B1" w:rsidP="00A343B1">
            <w:pPr>
              <w:spacing w:before="60" w:after="60"/>
              <w:rPr>
                <w:rFonts w:asciiTheme="majorHAnsi" w:hAnsiTheme="majorHAnsi"/>
                <w:sz w:val="22"/>
              </w:rPr>
            </w:pPr>
            <w:r w:rsidRPr="00EC0131">
              <w:rPr>
                <w:rFonts w:asciiTheme="majorHAnsi" w:hAnsiTheme="majorHAnsi"/>
                <w:sz w:val="22"/>
              </w:rPr>
              <w:t>We create an atmosphere of belonging for all children and families.</w:t>
            </w:r>
          </w:p>
        </w:tc>
        <w:tc>
          <w:tcPr>
            <w:tcW w:w="1260" w:type="dxa"/>
            <w:vAlign w:val="center"/>
          </w:tcPr>
          <w:p w14:paraId="16D4F7A3" w14:textId="75129518" w:rsidR="00A343B1" w:rsidRPr="00452A40" w:rsidRDefault="00A343B1" w:rsidP="00A343B1">
            <w:pPr>
              <w:spacing w:before="60" w:after="6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1F0F29">
              <w:rPr>
                <w:rFonts w:asciiTheme="majorHAnsi" w:hAnsiTheme="majorHAnsi"/>
                <w:noProof/>
              </w:rPr>
              <w:t> </w:t>
            </w:r>
            <w:r w:rsidR="001F0F29">
              <w:rPr>
                <w:rFonts w:asciiTheme="majorHAnsi" w:hAnsiTheme="majorHAnsi"/>
                <w:noProof/>
              </w:rPr>
              <w:t> </w:t>
            </w:r>
            <w:r w:rsidR="001F0F29">
              <w:rPr>
                <w:rFonts w:asciiTheme="majorHAnsi" w:hAnsiTheme="majorHAnsi"/>
                <w:noProof/>
              </w:rPr>
              <w:t> </w:t>
            </w:r>
            <w:r w:rsidR="001F0F29">
              <w:rPr>
                <w:rFonts w:asciiTheme="majorHAnsi" w:hAnsiTheme="majorHAnsi"/>
                <w:noProof/>
              </w:rPr>
              <w:t> </w:t>
            </w:r>
            <w:r w:rsidR="001F0F29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086" w:type="dxa"/>
          </w:tcPr>
          <w:p w14:paraId="032CD45A" w14:textId="31FB4B8A" w:rsidR="00A343B1" w:rsidRPr="00452A40" w:rsidRDefault="00A343B1" w:rsidP="00A343B1">
            <w:pPr>
              <w:spacing w:before="60"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1F0F29">
              <w:rPr>
                <w:rFonts w:asciiTheme="majorHAnsi" w:hAnsiTheme="majorHAnsi"/>
                <w:noProof/>
              </w:rPr>
              <w:t> </w:t>
            </w:r>
            <w:r w:rsidR="001F0F29">
              <w:rPr>
                <w:rFonts w:asciiTheme="majorHAnsi" w:hAnsiTheme="majorHAnsi"/>
                <w:noProof/>
              </w:rPr>
              <w:t> </w:t>
            </w:r>
            <w:r w:rsidR="001F0F29">
              <w:rPr>
                <w:rFonts w:asciiTheme="majorHAnsi" w:hAnsiTheme="majorHAnsi"/>
                <w:noProof/>
              </w:rPr>
              <w:t> </w:t>
            </w:r>
            <w:r w:rsidR="001F0F29">
              <w:rPr>
                <w:rFonts w:asciiTheme="majorHAnsi" w:hAnsiTheme="majorHAnsi"/>
                <w:noProof/>
              </w:rPr>
              <w:t> </w:t>
            </w:r>
            <w:r w:rsidR="001F0F29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A343B1" w:rsidRPr="00452A40" w14:paraId="09D2B379" w14:textId="77777777" w:rsidTr="00A343B1">
        <w:tc>
          <w:tcPr>
            <w:tcW w:w="4878" w:type="dxa"/>
          </w:tcPr>
          <w:p w14:paraId="19592E91" w14:textId="67D8EB4D" w:rsidR="00A343B1" w:rsidRPr="00EC0131" w:rsidRDefault="00A343B1" w:rsidP="00A343B1">
            <w:pPr>
              <w:spacing w:before="60" w:after="60"/>
              <w:rPr>
                <w:rFonts w:asciiTheme="majorHAnsi" w:hAnsiTheme="majorHAnsi"/>
                <w:sz w:val="22"/>
              </w:rPr>
            </w:pPr>
            <w:r w:rsidRPr="00EC0131">
              <w:rPr>
                <w:rFonts w:asciiTheme="majorHAnsi" w:hAnsiTheme="majorHAnsi"/>
                <w:sz w:val="22"/>
              </w:rPr>
              <w:t>We promote social awareness and positive social relationships between children.</w:t>
            </w:r>
          </w:p>
        </w:tc>
        <w:tc>
          <w:tcPr>
            <w:tcW w:w="1260" w:type="dxa"/>
            <w:vAlign w:val="center"/>
          </w:tcPr>
          <w:p w14:paraId="0D5C3131" w14:textId="27DB09DE" w:rsidR="00A343B1" w:rsidRPr="00452A40" w:rsidRDefault="00A343B1" w:rsidP="00A343B1">
            <w:pPr>
              <w:spacing w:before="60" w:after="6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1F0F29">
              <w:rPr>
                <w:rFonts w:asciiTheme="majorHAnsi" w:hAnsiTheme="majorHAnsi"/>
                <w:noProof/>
              </w:rPr>
              <w:t> </w:t>
            </w:r>
            <w:r w:rsidR="001F0F29">
              <w:rPr>
                <w:rFonts w:asciiTheme="majorHAnsi" w:hAnsiTheme="majorHAnsi"/>
                <w:noProof/>
              </w:rPr>
              <w:t> </w:t>
            </w:r>
            <w:r w:rsidR="001F0F29">
              <w:rPr>
                <w:rFonts w:asciiTheme="majorHAnsi" w:hAnsiTheme="majorHAnsi"/>
                <w:noProof/>
              </w:rPr>
              <w:t> </w:t>
            </w:r>
            <w:r w:rsidR="001F0F29">
              <w:rPr>
                <w:rFonts w:asciiTheme="majorHAnsi" w:hAnsiTheme="majorHAnsi"/>
                <w:noProof/>
              </w:rPr>
              <w:t> </w:t>
            </w:r>
            <w:r w:rsidR="001F0F29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086" w:type="dxa"/>
          </w:tcPr>
          <w:p w14:paraId="24D7E757" w14:textId="074D4E1E" w:rsidR="00A343B1" w:rsidRPr="00452A40" w:rsidRDefault="00A343B1" w:rsidP="00A343B1">
            <w:pPr>
              <w:spacing w:before="60"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1F0F29">
              <w:rPr>
                <w:rFonts w:asciiTheme="majorHAnsi" w:hAnsiTheme="majorHAnsi"/>
                <w:noProof/>
              </w:rPr>
              <w:t> </w:t>
            </w:r>
            <w:r w:rsidR="001F0F29">
              <w:rPr>
                <w:rFonts w:asciiTheme="majorHAnsi" w:hAnsiTheme="majorHAnsi"/>
                <w:noProof/>
              </w:rPr>
              <w:t> </w:t>
            </w:r>
            <w:r w:rsidR="001F0F29">
              <w:rPr>
                <w:rFonts w:asciiTheme="majorHAnsi" w:hAnsiTheme="majorHAnsi"/>
                <w:noProof/>
              </w:rPr>
              <w:t> </w:t>
            </w:r>
            <w:r w:rsidR="001F0F29">
              <w:rPr>
                <w:rFonts w:asciiTheme="majorHAnsi" w:hAnsiTheme="majorHAnsi"/>
                <w:noProof/>
              </w:rPr>
              <w:t> </w:t>
            </w:r>
            <w:r w:rsidR="001F0F29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A343B1" w:rsidRPr="00452A40" w14:paraId="5B92BACD" w14:textId="77777777" w:rsidTr="00A343B1">
        <w:tc>
          <w:tcPr>
            <w:tcW w:w="4878" w:type="dxa"/>
          </w:tcPr>
          <w:p w14:paraId="733BEBA4" w14:textId="17F65B4D" w:rsidR="00A343B1" w:rsidRPr="00EC0131" w:rsidRDefault="00A343B1" w:rsidP="00A343B1">
            <w:pPr>
              <w:spacing w:before="60" w:after="60"/>
              <w:rPr>
                <w:rFonts w:asciiTheme="majorHAnsi" w:hAnsiTheme="majorHAnsi"/>
                <w:sz w:val="22"/>
              </w:rPr>
            </w:pPr>
            <w:r w:rsidRPr="00EC0131">
              <w:rPr>
                <w:rFonts w:asciiTheme="majorHAnsi" w:hAnsiTheme="majorHAnsi"/>
                <w:sz w:val="22"/>
              </w:rPr>
              <w:t>We design and modify learning experiences to encourage children’s participation to the best of their ability.</w:t>
            </w:r>
          </w:p>
        </w:tc>
        <w:tc>
          <w:tcPr>
            <w:tcW w:w="1260" w:type="dxa"/>
            <w:vAlign w:val="center"/>
          </w:tcPr>
          <w:p w14:paraId="5CCBE5BE" w14:textId="7D7C0324" w:rsidR="00A343B1" w:rsidRPr="00452A40" w:rsidRDefault="00A343B1" w:rsidP="00A343B1">
            <w:pPr>
              <w:spacing w:before="60" w:after="6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1F0F29">
              <w:rPr>
                <w:rFonts w:asciiTheme="majorHAnsi" w:hAnsiTheme="majorHAnsi"/>
                <w:noProof/>
              </w:rPr>
              <w:t> </w:t>
            </w:r>
            <w:r w:rsidR="001F0F29">
              <w:rPr>
                <w:rFonts w:asciiTheme="majorHAnsi" w:hAnsiTheme="majorHAnsi"/>
                <w:noProof/>
              </w:rPr>
              <w:t> </w:t>
            </w:r>
            <w:r w:rsidR="001F0F29">
              <w:rPr>
                <w:rFonts w:asciiTheme="majorHAnsi" w:hAnsiTheme="majorHAnsi"/>
                <w:noProof/>
              </w:rPr>
              <w:t> </w:t>
            </w:r>
            <w:r w:rsidR="001F0F29">
              <w:rPr>
                <w:rFonts w:asciiTheme="majorHAnsi" w:hAnsiTheme="majorHAnsi"/>
                <w:noProof/>
              </w:rPr>
              <w:t> </w:t>
            </w:r>
            <w:r w:rsidR="001F0F29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086" w:type="dxa"/>
          </w:tcPr>
          <w:p w14:paraId="15398AE9" w14:textId="7A48EB48" w:rsidR="00A343B1" w:rsidRPr="00452A40" w:rsidRDefault="00A343B1" w:rsidP="00A343B1">
            <w:pPr>
              <w:spacing w:before="60"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1F0F29">
              <w:rPr>
                <w:rFonts w:asciiTheme="majorHAnsi" w:hAnsiTheme="majorHAnsi"/>
                <w:noProof/>
              </w:rPr>
              <w:t> </w:t>
            </w:r>
            <w:r w:rsidR="001F0F29">
              <w:rPr>
                <w:rFonts w:asciiTheme="majorHAnsi" w:hAnsiTheme="majorHAnsi"/>
                <w:noProof/>
              </w:rPr>
              <w:t> </w:t>
            </w:r>
            <w:r w:rsidR="001F0F29">
              <w:rPr>
                <w:rFonts w:asciiTheme="majorHAnsi" w:hAnsiTheme="majorHAnsi"/>
                <w:noProof/>
              </w:rPr>
              <w:t> </w:t>
            </w:r>
            <w:r w:rsidR="001F0F29">
              <w:rPr>
                <w:rFonts w:asciiTheme="majorHAnsi" w:hAnsiTheme="majorHAnsi"/>
                <w:noProof/>
              </w:rPr>
              <w:t> </w:t>
            </w:r>
            <w:r w:rsidR="001F0F29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A343B1" w:rsidRPr="00452A40" w14:paraId="1333E5E3" w14:textId="77777777" w:rsidTr="00A343B1">
        <w:tc>
          <w:tcPr>
            <w:tcW w:w="4878" w:type="dxa"/>
            <w:tcBorders>
              <w:bottom w:val="single" w:sz="4" w:space="0" w:color="auto"/>
            </w:tcBorders>
          </w:tcPr>
          <w:p w14:paraId="2715201E" w14:textId="3381C237" w:rsidR="00A343B1" w:rsidRPr="00EC0131" w:rsidRDefault="00A343B1" w:rsidP="00A343B1">
            <w:pPr>
              <w:spacing w:before="60" w:after="60"/>
              <w:rPr>
                <w:rFonts w:asciiTheme="majorHAnsi" w:hAnsiTheme="majorHAnsi"/>
                <w:sz w:val="22"/>
              </w:rPr>
            </w:pPr>
            <w:r w:rsidRPr="00EC0131">
              <w:rPr>
                <w:rFonts w:asciiTheme="majorHAnsi" w:hAnsiTheme="majorHAnsi"/>
                <w:sz w:val="22"/>
              </w:rPr>
              <w:t>We provide additional time and opportunities for children to practice skills.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07DE9F9" w14:textId="26A03596" w:rsidR="00A343B1" w:rsidRPr="00452A40" w:rsidRDefault="00A343B1" w:rsidP="00A343B1">
            <w:pPr>
              <w:spacing w:before="60" w:after="6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1F0F29">
              <w:rPr>
                <w:rFonts w:asciiTheme="majorHAnsi" w:hAnsiTheme="majorHAnsi"/>
                <w:noProof/>
              </w:rPr>
              <w:t> </w:t>
            </w:r>
            <w:r w:rsidR="001F0F29">
              <w:rPr>
                <w:rFonts w:asciiTheme="majorHAnsi" w:hAnsiTheme="majorHAnsi"/>
                <w:noProof/>
              </w:rPr>
              <w:t> </w:t>
            </w:r>
            <w:r w:rsidR="001F0F29">
              <w:rPr>
                <w:rFonts w:asciiTheme="majorHAnsi" w:hAnsiTheme="majorHAnsi"/>
                <w:noProof/>
              </w:rPr>
              <w:t> </w:t>
            </w:r>
            <w:r w:rsidR="001F0F29">
              <w:rPr>
                <w:rFonts w:asciiTheme="majorHAnsi" w:hAnsiTheme="majorHAnsi"/>
                <w:noProof/>
              </w:rPr>
              <w:t> </w:t>
            </w:r>
            <w:r w:rsidR="001F0F29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086" w:type="dxa"/>
            <w:tcBorders>
              <w:bottom w:val="single" w:sz="4" w:space="0" w:color="auto"/>
            </w:tcBorders>
          </w:tcPr>
          <w:p w14:paraId="2985F5D0" w14:textId="56020CB9" w:rsidR="00A343B1" w:rsidRPr="00452A40" w:rsidRDefault="00A343B1" w:rsidP="00A343B1">
            <w:pPr>
              <w:spacing w:before="60"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1F0F29">
              <w:rPr>
                <w:rFonts w:asciiTheme="majorHAnsi" w:hAnsiTheme="majorHAnsi"/>
                <w:noProof/>
              </w:rPr>
              <w:t> </w:t>
            </w:r>
            <w:r w:rsidR="001F0F29">
              <w:rPr>
                <w:rFonts w:asciiTheme="majorHAnsi" w:hAnsiTheme="majorHAnsi"/>
                <w:noProof/>
              </w:rPr>
              <w:t> </w:t>
            </w:r>
            <w:r w:rsidR="001F0F29">
              <w:rPr>
                <w:rFonts w:asciiTheme="majorHAnsi" w:hAnsiTheme="majorHAnsi"/>
                <w:noProof/>
              </w:rPr>
              <w:t> </w:t>
            </w:r>
            <w:r w:rsidR="001F0F29">
              <w:rPr>
                <w:rFonts w:asciiTheme="majorHAnsi" w:hAnsiTheme="majorHAnsi"/>
                <w:noProof/>
              </w:rPr>
              <w:t> </w:t>
            </w:r>
            <w:r w:rsidR="001F0F29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A343B1" w:rsidRPr="00452A40" w14:paraId="28E11A33" w14:textId="77777777" w:rsidTr="005333B7">
        <w:tc>
          <w:tcPr>
            <w:tcW w:w="10224" w:type="dxa"/>
            <w:gridSpan w:val="3"/>
            <w:shd w:val="clear" w:color="auto" w:fill="7030A0"/>
          </w:tcPr>
          <w:p w14:paraId="4906E738" w14:textId="77777777" w:rsidR="00A343B1" w:rsidRPr="00CF3EBC" w:rsidRDefault="00A343B1" w:rsidP="00A343B1">
            <w:pPr>
              <w:spacing w:before="60" w:after="60"/>
              <w:ind w:left="720"/>
              <w:rPr>
                <w:rFonts w:asciiTheme="majorHAnsi" w:hAnsiTheme="majorHAnsi"/>
                <w:color w:val="FFFFFF" w:themeColor="background1"/>
              </w:rPr>
            </w:pPr>
            <w:r w:rsidRPr="00CF3EBC">
              <w:rPr>
                <w:rFonts w:asciiTheme="majorHAnsi" w:hAnsiTheme="majorHAnsi"/>
                <w:b/>
                <w:color w:val="FFFFFF" w:themeColor="background1"/>
              </w:rPr>
              <w:t>Supports:</w:t>
            </w:r>
          </w:p>
        </w:tc>
      </w:tr>
      <w:tr w:rsidR="00A343B1" w:rsidRPr="00452A40" w14:paraId="0F709546" w14:textId="77777777" w:rsidTr="00A343B1">
        <w:tc>
          <w:tcPr>
            <w:tcW w:w="4878" w:type="dxa"/>
          </w:tcPr>
          <w:p w14:paraId="5EB6DB9C" w14:textId="2FAB3FDC" w:rsidR="00A343B1" w:rsidRPr="00EC0131" w:rsidRDefault="00A343B1" w:rsidP="00A343B1">
            <w:pPr>
              <w:spacing w:before="60" w:after="60"/>
              <w:rPr>
                <w:rFonts w:asciiTheme="majorHAnsi" w:hAnsiTheme="majorHAnsi"/>
                <w:sz w:val="22"/>
              </w:rPr>
            </w:pPr>
            <w:r w:rsidRPr="00EC0131">
              <w:rPr>
                <w:rFonts w:asciiTheme="majorHAnsi" w:hAnsiTheme="majorHAnsi"/>
                <w:sz w:val="22"/>
              </w:rPr>
              <w:t>We work in partnership with families and specialists to incorporate early intervention services/therapies into a child’s daily routines and experiences.</w:t>
            </w:r>
          </w:p>
        </w:tc>
        <w:tc>
          <w:tcPr>
            <w:tcW w:w="1260" w:type="dxa"/>
            <w:vAlign w:val="center"/>
          </w:tcPr>
          <w:p w14:paraId="2813DBA5" w14:textId="7BF03E38" w:rsidR="00A343B1" w:rsidRPr="00452A40" w:rsidRDefault="00A343B1" w:rsidP="00A343B1">
            <w:pPr>
              <w:spacing w:before="60" w:after="6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1F0F29">
              <w:rPr>
                <w:rFonts w:asciiTheme="majorHAnsi" w:hAnsiTheme="majorHAnsi"/>
                <w:noProof/>
              </w:rPr>
              <w:t> </w:t>
            </w:r>
            <w:r w:rsidR="001F0F29">
              <w:rPr>
                <w:rFonts w:asciiTheme="majorHAnsi" w:hAnsiTheme="majorHAnsi"/>
                <w:noProof/>
              </w:rPr>
              <w:t> </w:t>
            </w:r>
            <w:r w:rsidR="001F0F29">
              <w:rPr>
                <w:rFonts w:asciiTheme="majorHAnsi" w:hAnsiTheme="majorHAnsi"/>
                <w:noProof/>
              </w:rPr>
              <w:t> </w:t>
            </w:r>
            <w:r w:rsidR="001F0F29">
              <w:rPr>
                <w:rFonts w:asciiTheme="majorHAnsi" w:hAnsiTheme="majorHAnsi"/>
                <w:noProof/>
              </w:rPr>
              <w:t> </w:t>
            </w:r>
            <w:r w:rsidR="001F0F29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086" w:type="dxa"/>
          </w:tcPr>
          <w:p w14:paraId="1CDE18F8" w14:textId="0DD5523B" w:rsidR="00A343B1" w:rsidRPr="00452A40" w:rsidRDefault="00A343B1" w:rsidP="00A343B1">
            <w:pPr>
              <w:spacing w:before="60"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1F0F29">
              <w:rPr>
                <w:rFonts w:asciiTheme="majorHAnsi" w:hAnsiTheme="majorHAnsi"/>
                <w:noProof/>
              </w:rPr>
              <w:t> </w:t>
            </w:r>
            <w:r w:rsidR="001F0F29">
              <w:rPr>
                <w:rFonts w:asciiTheme="majorHAnsi" w:hAnsiTheme="majorHAnsi"/>
                <w:noProof/>
              </w:rPr>
              <w:t> </w:t>
            </w:r>
            <w:r w:rsidR="001F0F29">
              <w:rPr>
                <w:rFonts w:asciiTheme="majorHAnsi" w:hAnsiTheme="majorHAnsi"/>
                <w:noProof/>
              </w:rPr>
              <w:t> </w:t>
            </w:r>
            <w:r w:rsidR="001F0F29">
              <w:rPr>
                <w:rFonts w:asciiTheme="majorHAnsi" w:hAnsiTheme="majorHAnsi"/>
                <w:noProof/>
              </w:rPr>
              <w:t> </w:t>
            </w:r>
            <w:r w:rsidR="001F0F29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A343B1" w:rsidRPr="00452A40" w14:paraId="182BAB4A" w14:textId="77777777" w:rsidTr="00A343B1">
        <w:tc>
          <w:tcPr>
            <w:tcW w:w="4878" w:type="dxa"/>
          </w:tcPr>
          <w:p w14:paraId="6D1B543A" w14:textId="22B87AEE" w:rsidR="00A343B1" w:rsidRPr="00EC0131" w:rsidRDefault="00A343B1" w:rsidP="00A343B1">
            <w:pPr>
              <w:spacing w:before="60" w:after="60"/>
              <w:rPr>
                <w:rFonts w:asciiTheme="majorHAnsi" w:hAnsiTheme="majorHAnsi"/>
                <w:sz w:val="22"/>
              </w:rPr>
            </w:pPr>
            <w:r w:rsidRPr="00EC0131">
              <w:rPr>
                <w:rFonts w:asciiTheme="majorHAnsi" w:hAnsiTheme="majorHAnsi"/>
                <w:sz w:val="22"/>
              </w:rPr>
              <w:t>We acknowledge and build upon children’s strengths and interests.</w:t>
            </w:r>
          </w:p>
        </w:tc>
        <w:tc>
          <w:tcPr>
            <w:tcW w:w="1260" w:type="dxa"/>
            <w:vAlign w:val="center"/>
          </w:tcPr>
          <w:p w14:paraId="4C7B1EF2" w14:textId="2D8BD48D" w:rsidR="00A343B1" w:rsidRPr="00452A40" w:rsidRDefault="00A343B1" w:rsidP="00A343B1">
            <w:pPr>
              <w:spacing w:before="60" w:after="6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1F0F29">
              <w:rPr>
                <w:rFonts w:asciiTheme="majorHAnsi" w:hAnsiTheme="majorHAnsi"/>
                <w:noProof/>
              </w:rPr>
              <w:t> </w:t>
            </w:r>
            <w:r w:rsidR="001F0F29">
              <w:rPr>
                <w:rFonts w:asciiTheme="majorHAnsi" w:hAnsiTheme="majorHAnsi"/>
                <w:noProof/>
              </w:rPr>
              <w:t> </w:t>
            </w:r>
            <w:r w:rsidR="001F0F29">
              <w:rPr>
                <w:rFonts w:asciiTheme="majorHAnsi" w:hAnsiTheme="majorHAnsi"/>
                <w:noProof/>
              </w:rPr>
              <w:t> </w:t>
            </w:r>
            <w:r w:rsidR="001F0F29">
              <w:rPr>
                <w:rFonts w:asciiTheme="majorHAnsi" w:hAnsiTheme="majorHAnsi"/>
                <w:noProof/>
              </w:rPr>
              <w:t> </w:t>
            </w:r>
            <w:r w:rsidR="001F0F29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086" w:type="dxa"/>
          </w:tcPr>
          <w:p w14:paraId="2A5EF6B8" w14:textId="27706E9B" w:rsidR="00A343B1" w:rsidRPr="00452A40" w:rsidRDefault="00A343B1" w:rsidP="00A343B1">
            <w:pPr>
              <w:spacing w:before="60"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1F0F29">
              <w:rPr>
                <w:rFonts w:asciiTheme="majorHAnsi" w:hAnsiTheme="majorHAnsi"/>
                <w:noProof/>
              </w:rPr>
              <w:t> </w:t>
            </w:r>
            <w:r w:rsidR="001F0F29">
              <w:rPr>
                <w:rFonts w:asciiTheme="majorHAnsi" w:hAnsiTheme="majorHAnsi"/>
                <w:noProof/>
              </w:rPr>
              <w:t> </w:t>
            </w:r>
            <w:r w:rsidR="001F0F29">
              <w:rPr>
                <w:rFonts w:asciiTheme="majorHAnsi" w:hAnsiTheme="majorHAnsi"/>
                <w:noProof/>
              </w:rPr>
              <w:t> </w:t>
            </w:r>
            <w:r w:rsidR="001F0F29">
              <w:rPr>
                <w:rFonts w:asciiTheme="majorHAnsi" w:hAnsiTheme="majorHAnsi"/>
                <w:noProof/>
              </w:rPr>
              <w:t> </w:t>
            </w:r>
            <w:r w:rsidR="001F0F29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A343B1" w:rsidRPr="00452A40" w14:paraId="19519B38" w14:textId="77777777" w:rsidTr="00A343B1">
        <w:tc>
          <w:tcPr>
            <w:tcW w:w="4878" w:type="dxa"/>
          </w:tcPr>
          <w:p w14:paraId="5E57036F" w14:textId="21EC6A84" w:rsidR="00A343B1" w:rsidRPr="00EC0131" w:rsidRDefault="00A343B1" w:rsidP="00A343B1">
            <w:pPr>
              <w:spacing w:before="60" w:after="60"/>
              <w:ind w:right="-1728"/>
              <w:rPr>
                <w:rFonts w:asciiTheme="majorHAnsi" w:hAnsiTheme="majorHAnsi"/>
                <w:sz w:val="22"/>
              </w:rPr>
            </w:pPr>
            <w:r w:rsidRPr="00EC0131">
              <w:rPr>
                <w:rFonts w:asciiTheme="majorHAnsi" w:hAnsiTheme="majorHAnsi"/>
                <w:sz w:val="22"/>
              </w:rPr>
              <w:t xml:space="preserve">We strengthen our knowledge and skills </w:t>
            </w:r>
          </w:p>
          <w:p w14:paraId="4B2B9317" w14:textId="77777777" w:rsidR="00A343B1" w:rsidRPr="00EC0131" w:rsidRDefault="00A343B1" w:rsidP="00A343B1">
            <w:pPr>
              <w:spacing w:before="60" w:after="60"/>
              <w:ind w:right="-1728"/>
              <w:rPr>
                <w:rFonts w:asciiTheme="majorHAnsi" w:hAnsiTheme="majorHAnsi"/>
                <w:sz w:val="22"/>
              </w:rPr>
            </w:pPr>
            <w:r w:rsidRPr="00EC0131">
              <w:rPr>
                <w:rFonts w:asciiTheme="majorHAnsi" w:hAnsiTheme="majorHAnsi"/>
                <w:sz w:val="22"/>
              </w:rPr>
              <w:t>through professional development experiences.</w:t>
            </w:r>
          </w:p>
        </w:tc>
        <w:tc>
          <w:tcPr>
            <w:tcW w:w="1260" w:type="dxa"/>
            <w:vAlign w:val="center"/>
          </w:tcPr>
          <w:p w14:paraId="61B6A40F" w14:textId="587D7532" w:rsidR="00A343B1" w:rsidRPr="00452A40" w:rsidRDefault="00A343B1" w:rsidP="00A343B1">
            <w:pPr>
              <w:spacing w:before="60" w:after="6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1F0F29">
              <w:rPr>
                <w:rFonts w:asciiTheme="majorHAnsi" w:hAnsiTheme="majorHAnsi"/>
                <w:noProof/>
              </w:rPr>
              <w:t> </w:t>
            </w:r>
            <w:r w:rsidR="001F0F29">
              <w:rPr>
                <w:rFonts w:asciiTheme="majorHAnsi" w:hAnsiTheme="majorHAnsi"/>
                <w:noProof/>
              </w:rPr>
              <w:t> </w:t>
            </w:r>
            <w:r w:rsidR="001F0F29">
              <w:rPr>
                <w:rFonts w:asciiTheme="majorHAnsi" w:hAnsiTheme="majorHAnsi"/>
                <w:noProof/>
              </w:rPr>
              <w:t> </w:t>
            </w:r>
            <w:r w:rsidR="001F0F29">
              <w:rPr>
                <w:rFonts w:asciiTheme="majorHAnsi" w:hAnsiTheme="majorHAnsi"/>
                <w:noProof/>
              </w:rPr>
              <w:t> </w:t>
            </w:r>
            <w:r w:rsidR="001F0F29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086" w:type="dxa"/>
          </w:tcPr>
          <w:p w14:paraId="36C0B0F6" w14:textId="5EFD8385" w:rsidR="00A343B1" w:rsidRPr="00452A40" w:rsidRDefault="00A343B1" w:rsidP="00A343B1">
            <w:pPr>
              <w:spacing w:before="60"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1F0F29">
              <w:rPr>
                <w:rFonts w:asciiTheme="majorHAnsi" w:hAnsiTheme="majorHAnsi"/>
                <w:noProof/>
              </w:rPr>
              <w:t> </w:t>
            </w:r>
            <w:r w:rsidR="001F0F29">
              <w:rPr>
                <w:rFonts w:asciiTheme="majorHAnsi" w:hAnsiTheme="majorHAnsi"/>
                <w:noProof/>
              </w:rPr>
              <w:t> </w:t>
            </w:r>
            <w:r w:rsidR="001F0F29">
              <w:rPr>
                <w:rFonts w:asciiTheme="majorHAnsi" w:hAnsiTheme="majorHAnsi"/>
                <w:noProof/>
              </w:rPr>
              <w:t> </w:t>
            </w:r>
            <w:r w:rsidR="001F0F29">
              <w:rPr>
                <w:rFonts w:asciiTheme="majorHAnsi" w:hAnsiTheme="majorHAnsi"/>
                <w:noProof/>
              </w:rPr>
              <w:t> </w:t>
            </w:r>
            <w:r w:rsidR="001F0F29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</w:tbl>
    <w:p w14:paraId="4B0CF7AE" w14:textId="77777777" w:rsidR="005333B7" w:rsidRPr="00D6609D" w:rsidRDefault="005333B7">
      <w:pPr>
        <w:rPr>
          <w:rFonts w:asciiTheme="majorHAnsi" w:hAnsiTheme="majorHAnsi"/>
          <w:sz w:val="10"/>
          <w:szCs w:val="10"/>
        </w:rPr>
      </w:pPr>
    </w:p>
    <w:p w14:paraId="5F0A4B3A" w14:textId="0A5D775A" w:rsidR="0024433C" w:rsidRDefault="00D6609D" w:rsidP="0024433C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inline distT="0" distB="0" distL="0" distR="0" wp14:anchorId="3EB871FD" wp14:editId="44F9DCE3">
            <wp:extent cx="1880609" cy="4194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58324" cy="43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3D8E2" w14:textId="571A25F4" w:rsidR="007319A1" w:rsidRPr="0010588E" w:rsidRDefault="00B931FA">
      <w:pPr>
        <w:rPr>
          <w:rFonts w:asciiTheme="majorHAnsi" w:hAnsiTheme="majorHAnsi"/>
          <w:sz w:val="28"/>
          <w:szCs w:val="28"/>
        </w:rPr>
      </w:pPr>
      <w:r w:rsidRPr="0010588E">
        <w:rPr>
          <w:rFonts w:asciiTheme="majorHAnsi" w:hAnsiTheme="majorHAnsi"/>
          <w:sz w:val="28"/>
          <w:szCs w:val="28"/>
        </w:rPr>
        <w:lastRenderedPageBreak/>
        <w:t>References:</w:t>
      </w:r>
    </w:p>
    <w:p w14:paraId="078445E6" w14:textId="77777777" w:rsidR="00B931FA" w:rsidRDefault="00B931FA" w:rsidP="00B931FA">
      <w:pPr>
        <w:rPr>
          <w:rFonts w:asciiTheme="majorHAnsi" w:eastAsia="Times New Roman" w:hAnsiTheme="majorHAnsi" w:cs="Times New Roman"/>
        </w:rPr>
      </w:pPr>
    </w:p>
    <w:p w14:paraId="787A3C54" w14:textId="0D698EA6" w:rsidR="00B931FA" w:rsidRPr="00E746D9" w:rsidRDefault="00B931FA" w:rsidP="00E746D9">
      <w:pPr>
        <w:ind w:left="360" w:hanging="360"/>
        <w:rPr>
          <w:rFonts w:asciiTheme="majorHAnsi" w:eastAsia="Times New Roman" w:hAnsiTheme="majorHAnsi" w:cs="Times New Roman"/>
          <w:sz w:val="20"/>
          <w:szCs w:val="20"/>
        </w:rPr>
      </w:pPr>
      <w:r w:rsidRPr="00E746D9">
        <w:rPr>
          <w:rFonts w:asciiTheme="majorHAnsi" w:eastAsia="Times New Roman" w:hAnsiTheme="majorHAnsi" w:cs="Times New Roman"/>
          <w:sz w:val="20"/>
          <w:szCs w:val="20"/>
        </w:rPr>
        <w:t>Division for Early Childhood. (2014). DEC recommended practices in early intervention/early childhood special education 2014.</w:t>
      </w:r>
      <w:r w:rsidR="005333B7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Pr="00E746D9">
        <w:rPr>
          <w:rFonts w:asciiTheme="majorHAnsi" w:eastAsia="Times New Roman" w:hAnsiTheme="majorHAnsi" w:cs="Times New Roman"/>
          <w:sz w:val="20"/>
          <w:szCs w:val="20"/>
        </w:rPr>
        <w:t>Retrieved from http://www.dec-sped.org/dec-recommended-practices</w:t>
      </w:r>
    </w:p>
    <w:p w14:paraId="04695011" w14:textId="77777777" w:rsidR="00B931FA" w:rsidRPr="00E746D9" w:rsidRDefault="00B931FA" w:rsidP="00E746D9">
      <w:pPr>
        <w:ind w:left="360" w:hanging="360"/>
        <w:rPr>
          <w:rFonts w:asciiTheme="majorHAnsi" w:eastAsia="Times New Roman" w:hAnsiTheme="majorHAnsi" w:cs="Times New Roman"/>
          <w:sz w:val="20"/>
          <w:szCs w:val="20"/>
        </w:rPr>
      </w:pPr>
    </w:p>
    <w:p w14:paraId="57313EDE" w14:textId="77777777" w:rsidR="00B931FA" w:rsidRPr="00E746D9" w:rsidRDefault="00B931FA" w:rsidP="00E746D9">
      <w:pPr>
        <w:widowControl w:val="0"/>
        <w:autoSpaceDE w:val="0"/>
        <w:autoSpaceDN w:val="0"/>
        <w:adjustRightInd w:val="0"/>
        <w:spacing w:after="240"/>
        <w:ind w:left="360" w:hanging="360"/>
        <w:rPr>
          <w:rFonts w:asciiTheme="majorHAnsi" w:hAnsiTheme="majorHAnsi" w:cs="Times"/>
          <w:sz w:val="20"/>
          <w:szCs w:val="20"/>
        </w:rPr>
      </w:pPr>
      <w:r w:rsidRPr="00E746D9">
        <w:rPr>
          <w:rFonts w:asciiTheme="majorHAnsi" w:hAnsiTheme="majorHAnsi" w:cs="Arial"/>
          <w:sz w:val="20"/>
          <w:szCs w:val="20"/>
        </w:rPr>
        <w:t xml:space="preserve">DEC/NAEYC. (2009). </w:t>
      </w:r>
      <w:r w:rsidRPr="00E746D9">
        <w:rPr>
          <w:rFonts w:asciiTheme="majorHAnsi" w:hAnsiTheme="majorHAnsi" w:cs="Arial"/>
          <w:i/>
          <w:iCs/>
          <w:sz w:val="20"/>
          <w:szCs w:val="20"/>
        </w:rPr>
        <w:t xml:space="preserve">Early childhood inclusion: A joint position statement of the Division for Early Childhood (DEC) and the National Association for the Education of Young Children (NAEYC). </w:t>
      </w:r>
      <w:r w:rsidRPr="00E746D9">
        <w:rPr>
          <w:rFonts w:asciiTheme="majorHAnsi" w:hAnsiTheme="majorHAnsi" w:cs="Arial"/>
          <w:sz w:val="20"/>
          <w:szCs w:val="20"/>
        </w:rPr>
        <w:t>Chapel Hill: The University of North Carolina, FPG Child Development Institute.</w:t>
      </w:r>
    </w:p>
    <w:p w14:paraId="1745A850" w14:textId="77777777" w:rsidR="00B931FA" w:rsidRPr="00E746D9" w:rsidRDefault="00B931FA" w:rsidP="00E746D9">
      <w:pPr>
        <w:widowControl w:val="0"/>
        <w:autoSpaceDE w:val="0"/>
        <w:autoSpaceDN w:val="0"/>
        <w:adjustRightInd w:val="0"/>
        <w:spacing w:after="240"/>
        <w:ind w:left="360" w:hanging="360"/>
        <w:rPr>
          <w:rFonts w:asciiTheme="majorHAnsi" w:hAnsiTheme="majorHAnsi"/>
          <w:sz w:val="20"/>
          <w:szCs w:val="20"/>
        </w:rPr>
      </w:pPr>
      <w:r w:rsidRPr="00E746D9">
        <w:rPr>
          <w:rFonts w:asciiTheme="majorHAnsi" w:hAnsiTheme="majorHAnsi"/>
          <w:sz w:val="20"/>
          <w:szCs w:val="20"/>
        </w:rPr>
        <w:t xml:space="preserve">Universal Design for Learning (UDL) Checklist for Early Childhood Environments. </w:t>
      </w:r>
      <w:r w:rsidRPr="00E746D9">
        <w:rPr>
          <w:rFonts w:asciiTheme="majorHAnsi" w:hAnsiTheme="majorHAnsi" w:cs="Times"/>
          <w:sz w:val="20"/>
          <w:szCs w:val="20"/>
        </w:rPr>
        <w:t xml:space="preserve">(2007); Revised (2013). Northampton Community College and Pennsylvania Developmental Disabilities Council. </w:t>
      </w:r>
      <w:r w:rsidRPr="00E746D9">
        <w:rPr>
          <w:rFonts w:asciiTheme="majorHAnsi" w:hAnsiTheme="majorHAnsi"/>
          <w:sz w:val="20"/>
          <w:szCs w:val="20"/>
        </w:rPr>
        <w:t>Retrieved from http://northampton.edu/early-childhood-education/partnerships/building-inclusive-child-care/special-education-related-resources.htm</w:t>
      </w:r>
    </w:p>
    <w:p w14:paraId="6656BA7C" w14:textId="24EFDE0B" w:rsidR="00B931FA" w:rsidRDefault="00B931FA" w:rsidP="00E746D9">
      <w:pPr>
        <w:ind w:left="360" w:hanging="360"/>
        <w:rPr>
          <w:rFonts w:asciiTheme="majorHAnsi" w:hAnsiTheme="majorHAnsi"/>
          <w:sz w:val="20"/>
          <w:szCs w:val="20"/>
        </w:rPr>
      </w:pPr>
      <w:r w:rsidRPr="00E746D9">
        <w:rPr>
          <w:rFonts w:asciiTheme="majorHAnsi" w:hAnsiTheme="majorHAnsi"/>
          <w:sz w:val="20"/>
          <w:szCs w:val="20"/>
        </w:rPr>
        <w:t xml:space="preserve">Willis, C. (2009). </w:t>
      </w:r>
      <w:r w:rsidRPr="00E746D9">
        <w:rPr>
          <w:rFonts w:asciiTheme="majorHAnsi" w:hAnsiTheme="majorHAnsi"/>
          <w:i/>
          <w:sz w:val="20"/>
          <w:szCs w:val="20"/>
        </w:rPr>
        <w:t>Teaching Infants, Toddlers, and Twos with Special Needs</w:t>
      </w:r>
      <w:r w:rsidRPr="00E746D9">
        <w:rPr>
          <w:rFonts w:asciiTheme="majorHAnsi" w:hAnsiTheme="majorHAnsi"/>
          <w:sz w:val="20"/>
          <w:szCs w:val="20"/>
        </w:rPr>
        <w:t>. (2009). Beltsville, MD: Gryphon House.</w:t>
      </w:r>
    </w:p>
    <w:p w14:paraId="21260997" w14:textId="257B0C57" w:rsidR="0024433C" w:rsidRDefault="0024433C" w:rsidP="00E746D9">
      <w:pPr>
        <w:ind w:left="360" w:hanging="360"/>
        <w:rPr>
          <w:rFonts w:asciiTheme="majorHAnsi" w:hAnsiTheme="majorHAnsi"/>
          <w:sz w:val="20"/>
          <w:szCs w:val="20"/>
        </w:rPr>
      </w:pPr>
    </w:p>
    <w:p w14:paraId="7C95224B" w14:textId="40F9F3C5" w:rsidR="0024433C" w:rsidRPr="00E746D9" w:rsidRDefault="0024433C" w:rsidP="00E746D9">
      <w:pPr>
        <w:ind w:left="360" w:hanging="360"/>
        <w:rPr>
          <w:rFonts w:asciiTheme="majorHAnsi" w:hAnsiTheme="majorHAnsi"/>
          <w:sz w:val="20"/>
          <w:szCs w:val="20"/>
        </w:rPr>
      </w:pPr>
    </w:p>
    <w:sectPr w:rsidR="0024433C" w:rsidRPr="00E746D9" w:rsidSect="00805590">
      <w:headerReference w:type="default" r:id="rId8"/>
      <w:headerReference w:type="first" r:id="rId9"/>
      <w:footerReference w:type="first" r:id="rId10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41D46" w14:textId="77777777" w:rsidR="00F21E56" w:rsidRDefault="00F21E56" w:rsidP="004D75C9">
      <w:r>
        <w:separator/>
      </w:r>
    </w:p>
  </w:endnote>
  <w:endnote w:type="continuationSeparator" w:id="0">
    <w:p w14:paraId="5E8AAD3F" w14:textId="77777777" w:rsidR="00F21E56" w:rsidRDefault="00F21E56" w:rsidP="004D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631A4" w14:textId="718F3EDA" w:rsidR="005333B7" w:rsidRPr="005333B7" w:rsidRDefault="005333B7" w:rsidP="005333B7">
    <w:pPr>
      <w:pStyle w:val="Footer"/>
      <w:tabs>
        <w:tab w:val="right" w:pos="9900"/>
      </w:tabs>
      <w:jc w:val="center"/>
      <w:rPr>
        <w:rFonts w:ascii="Arial" w:hAnsi="Arial"/>
        <w:color w:val="000080"/>
        <w:sz w:val="16"/>
      </w:rPr>
    </w:pPr>
    <w:r w:rsidRPr="0059183B">
      <w:rPr>
        <w:rFonts w:ascii="Arial" w:hAnsi="Arial"/>
        <w:color w:val="000080"/>
        <w:sz w:val="16"/>
      </w:rPr>
      <w:t xml:space="preserve">751 Rancheros Drive, Suite 2 </w:t>
    </w:r>
    <w:r w:rsidRPr="0059183B">
      <w:rPr>
        <w:rFonts w:ascii="Arial" w:hAnsi="Arial"/>
        <w:b/>
        <w:color w:val="339966"/>
        <w:sz w:val="16"/>
      </w:rPr>
      <w:t>•</w:t>
    </w:r>
    <w:r w:rsidRPr="0059183B">
      <w:rPr>
        <w:rFonts w:ascii="Arial" w:hAnsi="Arial"/>
        <w:color w:val="000080"/>
        <w:sz w:val="16"/>
      </w:rPr>
      <w:t xml:space="preserve"> San Marcos, California </w:t>
    </w:r>
    <w:r w:rsidRPr="0059183B">
      <w:rPr>
        <w:rFonts w:ascii="Arial" w:hAnsi="Arial"/>
        <w:b/>
        <w:color w:val="339966"/>
        <w:sz w:val="16"/>
      </w:rPr>
      <w:t>•</w:t>
    </w:r>
    <w:r w:rsidRPr="0059183B">
      <w:rPr>
        <w:rFonts w:ascii="Arial" w:hAnsi="Arial"/>
        <w:color w:val="000080"/>
        <w:sz w:val="16"/>
      </w:rPr>
      <w:t xml:space="preserve"> 92069-3042 </w:t>
    </w:r>
    <w:r w:rsidRPr="0059183B">
      <w:rPr>
        <w:rFonts w:ascii="Arial" w:hAnsi="Arial"/>
        <w:color w:val="339966"/>
        <w:sz w:val="16"/>
      </w:rPr>
      <w:t xml:space="preserve">  </w:t>
    </w:r>
    <w:r w:rsidRPr="0059183B">
      <w:rPr>
        <w:rFonts w:ascii="Arial" w:hAnsi="Arial"/>
        <w:b/>
        <w:color w:val="339966"/>
        <w:sz w:val="16"/>
      </w:rPr>
      <w:t>t:</w:t>
    </w:r>
    <w:r w:rsidRPr="0059183B">
      <w:rPr>
        <w:rFonts w:ascii="Arial" w:hAnsi="Arial"/>
        <w:color w:val="000080"/>
        <w:sz w:val="16"/>
      </w:rPr>
      <w:t xml:space="preserve"> </w:t>
    </w:r>
    <w:proofErr w:type="gramStart"/>
    <w:r w:rsidRPr="0059183B">
      <w:rPr>
        <w:rFonts w:ascii="Arial" w:hAnsi="Arial"/>
        <w:color w:val="000080"/>
        <w:sz w:val="16"/>
      </w:rPr>
      <w:t>760.</w:t>
    </w:r>
    <w:r>
      <w:rPr>
        <w:rFonts w:ascii="Arial" w:hAnsi="Arial"/>
        <w:color w:val="000080"/>
        <w:sz w:val="16"/>
      </w:rPr>
      <w:t>304</w:t>
    </w:r>
    <w:r w:rsidRPr="0059183B">
      <w:rPr>
        <w:rFonts w:ascii="Arial" w:hAnsi="Arial"/>
        <w:color w:val="000080"/>
        <w:sz w:val="16"/>
      </w:rPr>
      <w:t>.</w:t>
    </w:r>
    <w:r>
      <w:rPr>
        <w:rFonts w:ascii="Arial" w:hAnsi="Arial"/>
        <w:color w:val="000080"/>
        <w:sz w:val="16"/>
      </w:rPr>
      <w:t>5</w:t>
    </w:r>
    <w:r w:rsidRPr="0059183B">
      <w:rPr>
        <w:rFonts w:ascii="Arial" w:hAnsi="Arial"/>
        <w:color w:val="000080"/>
        <w:sz w:val="16"/>
      </w:rPr>
      <w:t xml:space="preserve">200  </w:t>
    </w:r>
    <w:r w:rsidRPr="0059183B">
      <w:rPr>
        <w:rFonts w:ascii="Arial" w:hAnsi="Arial"/>
        <w:b/>
        <w:color w:val="339966"/>
        <w:sz w:val="16"/>
      </w:rPr>
      <w:t>f</w:t>
    </w:r>
    <w:proofErr w:type="gramEnd"/>
    <w:r w:rsidRPr="0059183B">
      <w:rPr>
        <w:rFonts w:ascii="Arial" w:hAnsi="Arial"/>
        <w:b/>
        <w:color w:val="339966"/>
        <w:sz w:val="16"/>
      </w:rPr>
      <w:t>:</w:t>
    </w:r>
    <w:r w:rsidRPr="0059183B">
      <w:rPr>
        <w:rFonts w:ascii="Arial" w:hAnsi="Arial"/>
        <w:color w:val="000080"/>
        <w:sz w:val="16"/>
      </w:rPr>
      <w:t xml:space="preserve"> 760.</w:t>
    </w:r>
    <w:r>
      <w:rPr>
        <w:rFonts w:ascii="Arial" w:hAnsi="Arial"/>
        <w:color w:val="000080"/>
        <w:sz w:val="16"/>
      </w:rPr>
      <w:t>304</w:t>
    </w:r>
    <w:r w:rsidRPr="0059183B">
      <w:rPr>
        <w:rFonts w:ascii="Arial" w:hAnsi="Arial"/>
        <w:color w:val="000080"/>
        <w:sz w:val="16"/>
      </w:rPr>
      <w:t>.</w:t>
    </w:r>
    <w:r>
      <w:rPr>
        <w:rFonts w:ascii="Arial" w:hAnsi="Arial"/>
        <w:color w:val="000080"/>
        <w:sz w:val="16"/>
      </w:rPr>
      <w:t>525</w:t>
    </w:r>
    <w:r w:rsidRPr="0059183B">
      <w:rPr>
        <w:rFonts w:ascii="Arial" w:hAnsi="Arial"/>
        <w:color w:val="000080"/>
        <w:sz w:val="16"/>
      </w:rPr>
      <w:t xml:space="preserve">2  </w:t>
    </w:r>
    <w:r w:rsidRPr="0059183B">
      <w:rPr>
        <w:rFonts w:ascii="Arial" w:hAnsi="Arial"/>
        <w:b/>
        <w:color w:val="339966"/>
        <w:sz w:val="16"/>
      </w:rPr>
      <w:t>w:</w:t>
    </w:r>
    <w:r>
      <w:rPr>
        <w:rFonts w:ascii="Arial" w:hAnsi="Arial"/>
        <w:color w:val="000080"/>
        <w:sz w:val="16"/>
      </w:rPr>
      <w:t xml:space="preserve"> www.CAinclusion</w:t>
    </w:r>
    <w:r w:rsidRPr="0059183B">
      <w:rPr>
        <w:rFonts w:ascii="Arial" w:hAnsi="Arial"/>
        <w:color w:val="000080"/>
        <w:sz w:val="16"/>
      </w:rPr>
      <w:t>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22D27" w14:textId="77777777" w:rsidR="00F21E56" w:rsidRDefault="00F21E56" w:rsidP="004D75C9">
      <w:r>
        <w:separator/>
      </w:r>
    </w:p>
  </w:footnote>
  <w:footnote w:type="continuationSeparator" w:id="0">
    <w:p w14:paraId="6CA7F3D8" w14:textId="77777777" w:rsidR="00F21E56" w:rsidRDefault="00F21E56" w:rsidP="004D7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64303" w14:textId="4ED2B0FE" w:rsidR="005333B7" w:rsidRPr="005333B7" w:rsidRDefault="005333B7" w:rsidP="005333B7">
    <w:pPr>
      <w:pStyle w:val="Heading1"/>
      <w:spacing w:before="0"/>
      <w:jc w:val="center"/>
      <w:rPr>
        <w:color w:val="000000" w:themeColor="text1"/>
        <w:sz w:val="28"/>
      </w:rPr>
    </w:pPr>
    <w:r w:rsidRPr="005333B7">
      <w:rPr>
        <w:color w:val="000000" w:themeColor="text1"/>
        <w:sz w:val="28"/>
      </w:rPr>
      <w:t xml:space="preserve">I Belong! Checklist for Promoting Inclusive Practice for </w:t>
    </w:r>
    <w:r w:rsidRPr="005333B7">
      <w:rPr>
        <w:color w:val="000000" w:themeColor="text1"/>
        <w:sz w:val="28"/>
      </w:rPr>
      <w:br/>
      <w:t>Children with Disabilities or Delays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BD7C3" w14:textId="2FCB3A1F" w:rsidR="005333B7" w:rsidRPr="0024433C" w:rsidRDefault="0024433C" w:rsidP="0024433C">
    <w:pPr>
      <w:pStyle w:val="Heading1"/>
      <w:spacing w:before="0"/>
      <w:jc w:val="center"/>
      <w:rPr>
        <w:color w:val="7030A0"/>
      </w:rPr>
    </w:pPr>
    <w:r w:rsidRPr="0024433C">
      <w:rPr>
        <w:color w:val="7030A0"/>
      </w:rPr>
      <w:t xml:space="preserve">I Belong! Checklist for Promoting Inclusive Practice for </w:t>
    </w:r>
    <w:r w:rsidRPr="0024433C">
      <w:rPr>
        <w:color w:val="7030A0"/>
      </w:rPr>
      <w:br/>
      <w:t>Children with Disabilities or Delays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removePersonalInformation/>
  <w:removeDateAndTime/>
  <w:proofState w:spelling="clean" w:grammar="clean"/>
  <w:documentProtection w:edit="forms" w:enforcement="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9A1"/>
    <w:rsid w:val="000933F0"/>
    <w:rsid w:val="0010588E"/>
    <w:rsid w:val="00106A55"/>
    <w:rsid w:val="001F0F29"/>
    <w:rsid w:val="0024433C"/>
    <w:rsid w:val="00271173"/>
    <w:rsid w:val="002A3B0B"/>
    <w:rsid w:val="00305BFA"/>
    <w:rsid w:val="00312D28"/>
    <w:rsid w:val="003475ED"/>
    <w:rsid w:val="00452A40"/>
    <w:rsid w:val="004D75C9"/>
    <w:rsid w:val="005333B7"/>
    <w:rsid w:val="00535F9B"/>
    <w:rsid w:val="0058780A"/>
    <w:rsid w:val="005B301C"/>
    <w:rsid w:val="0065076D"/>
    <w:rsid w:val="00687EBC"/>
    <w:rsid w:val="006D072A"/>
    <w:rsid w:val="007319A1"/>
    <w:rsid w:val="00805590"/>
    <w:rsid w:val="00887AE2"/>
    <w:rsid w:val="008D7588"/>
    <w:rsid w:val="00A343B1"/>
    <w:rsid w:val="00A71B74"/>
    <w:rsid w:val="00B931FA"/>
    <w:rsid w:val="00BB1851"/>
    <w:rsid w:val="00C35701"/>
    <w:rsid w:val="00C53A3C"/>
    <w:rsid w:val="00C804AD"/>
    <w:rsid w:val="00CF3EBC"/>
    <w:rsid w:val="00D6609D"/>
    <w:rsid w:val="00DC4130"/>
    <w:rsid w:val="00DE5C94"/>
    <w:rsid w:val="00E2112E"/>
    <w:rsid w:val="00E746D9"/>
    <w:rsid w:val="00EC0131"/>
    <w:rsid w:val="00F21E56"/>
    <w:rsid w:val="00FC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A4614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19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319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19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319A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931FA"/>
    <w:rPr>
      <w:color w:val="0000FF" w:themeColor="hyperlink"/>
      <w:u w:val="single"/>
    </w:rPr>
  </w:style>
  <w:style w:type="table" w:styleId="LightShading-Accent2">
    <w:name w:val="Light Shading Accent 2"/>
    <w:basedOn w:val="TableNormal"/>
    <w:uiPriority w:val="60"/>
    <w:rsid w:val="00106A5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106A5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106A5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106A5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5">
    <w:name w:val="Light Shading Accent 5"/>
    <w:basedOn w:val="TableNormal"/>
    <w:uiPriority w:val="60"/>
    <w:rsid w:val="00106A5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106A5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106A5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D75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5C9"/>
  </w:style>
  <w:style w:type="paragraph" w:styleId="Footer">
    <w:name w:val="footer"/>
    <w:basedOn w:val="Normal"/>
    <w:link w:val="FooterChar"/>
    <w:unhideWhenUsed/>
    <w:rsid w:val="004D75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5C9"/>
  </w:style>
  <w:style w:type="paragraph" w:customStyle="1" w:styleId="p1">
    <w:name w:val="p1"/>
    <w:basedOn w:val="Normal"/>
    <w:rsid w:val="004D75C9"/>
    <w:rPr>
      <w:rFonts w:ascii="Avenir" w:hAnsi="Avenir" w:cs="Times New Roman"/>
      <w:sz w:val="18"/>
      <w:szCs w:val="18"/>
    </w:rPr>
  </w:style>
  <w:style w:type="paragraph" w:customStyle="1" w:styleId="p2">
    <w:name w:val="p2"/>
    <w:basedOn w:val="Normal"/>
    <w:rsid w:val="004D75C9"/>
    <w:pPr>
      <w:spacing w:after="246" w:line="404" w:lineRule="atLeast"/>
      <w:jc w:val="both"/>
    </w:pPr>
    <w:rPr>
      <w:rFonts w:ascii="Avenir" w:hAnsi="Avenir" w:cs="Times New Roman"/>
      <w:sz w:val="13"/>
      <w:szCs w:val="13"/>
    </w:rPr>
  </w:style>
  <w:style w:type="character" w:customStyle="1" w:styleId="apple-converted-space">
    <w:name w:val="apple-converted-space"/>
    <w:basedOn w:val="DefaultParagraphFont"/>
    <w:rsid w:val="004D75C9"/>
  </w:style>
  <w:style w:type="paragraph" w:styleId="BalloonText">
    <w:name w:val="Balloon Text"/>
    <w:basedOn w:val="Normal"/>
    <w:link w:val="BalloonTextChar"/>
    <w:uiPriority w:val="99"/>
    <w:semiHidden/>
    <w:unhideWhenUsed/>
    <w:rsid w:val="005333B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3B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8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98B77F-FA16-8A43-8B40-7E1E58931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496</Words>
  <Characters>2433</Characters>
  <Application>Microsoft Office Word</Application>
  <DocSecurity>0</DocSecurity>
  <Lines>38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Checklist for Promoting Inclusive Practice for Infants and Toddlers with Disabil</vt:lpstr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</cp:revision>
  <cp:lastPrinted>2019-05-09T09:23:00Z</cp:lastPrinted>
  <dcterms:created xsi:type="dcterms:W3CDTF">2019-05-09T09:13:00Z</dcterms:created>
  <dcterms:modified xsi:type="dcterms:W3CDTF">2022-03-25T16:48:00Z</dcterms:modified>
</cp:coreProperties>
</file>